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284" w:rsidRDefault="00281284" w:rsidP="00656FEF">
      <w:pPr>
        <w:tabs>
          <w:tab w:val="left" w:pos="2610"/>
          <w:tab w:val="left" w:pos="3735"/>
        </w:tabs>
        <w:spacing w:after="120"/>
        <w:ind w:left="113"/>
      </w:pPr>
      <w:r w:rsidRPr="009634C1">
        <w:rPr>
          <w:rFonts w:ascii="Arial" w:hAnsi="Arial" w:cs="Arial"/>
          <w:noProof/>
          <w:color w:val="333333"/>
          <w:sz w:val="21"/>
          <w:szCs w:val="21"/>
          <w:lang w:val="it-IT" w:eastAsia="it-IT" w:bidi="ar-SA"/>
        </w:rPr>
        <w:drawing>
          <wp:inline distT="0" distB="0" distL="0" distR="0">
            <wp:extent cx="1714500" cy="381000"/>
            <wp:effectExtent l="19050" t="0" r="0" b="0"/>
            <wp:docPr id="1" name="Immagine 1" descr="C:\Users\DI GENNARO\AppData\Local\Temp\notesC25B30\logo pd senato picco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 GENNARO\AppData\Local\Temp\notesC25B30\logo pd senato piccol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178" cy="384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</w:p>
    <w:p w:rsidR="00281284" w:rsidRPr="00551283" w:rsidRDefault="00281284" w:rsidP="00685F72">
      <w:pPr>
        <w:tabs>
          <w:tab w:val="left" w:pos="851"/>
        </w:tabs>
        <w:rPr>
          <w:b/>
          <w:i/>
          <w:sz w:val="18"/>
          <w:szCs w:val="18"/>
        </w:rPr>
      </w:pPr>
      <w:r>
        <w:rPr>
          <w:b/>
          <w:sz w:val="16"/>
          <w:szCs w:val="16"/>
        </w:rPr>
        <w:t xml:space="preserve">   </w:t>
      </w:r>
      <w:r>
        <w:rPr>
          <w:b/>
          <w:sz w:val="16"/>
          <w:szCs w:val="16"/>
        </w:rPr>
        <w:tab/>
      </w:r>
      <w:r w:rsidRPr="00551283">
        <w:rPr>
          <w:b/>
          <w:i/>
          <w:sz w:val="18"/>
          <w:szCs w:val="18"/>
        </w:rPr>
        <w:t>Ufficio legislativo</w:t>
      </w:r>
    </w:p>
    <w:p w:rsidR="00281284" w:rsidRDefault="00281284" w:rsidP="00A25AA0">
      <w:pPr>
        <w:pStyle w:val="Intestazione"/>
        <w:tabs>
          <w:tab w:val="clear" w:pos="4819"/>
          <w:tab w:val="center" w:pos="1800"/>
        </w:tabs>
        <w:ind w:left="-360"/>
        <w:rPr>
          <w:i/>
        </w:rPr>
      </w:pPr>
    </w:p>
    <w:p w:rsidR="00E17FB8" w:rsidRDefault="00E17FB8" w:rsidP="00E17FB8">
      <w:pPr>
        <w:jc w:val="center"/>
        <w:rPr>
          <w:b/>
          <w:smallCaps/>
          <w:sz w:val="24"/>
          <w:szCs w:val="24"/>
          <w:u w:val="single"/>
        </w:rPr>
      </w:pPr>
    </w:p>
    <w:p w:rsidR="00E17FB8" w:rsidRDefault="00E17FB8" w:rsidP="00E17FB8">
      <w:pPr>
        <w:jc w:val="center"/>
        <w:rPr>
          <w:b/>
          <w:smallCaps/>
          <w:sz w:val="24"/>
          <w:szCs w:val="24"/>
          <w:u w:val="single"/>
        </w:rPr>
      </w:pPr>
    </w:p>
    <w:p w:rsidR="00E17FB8" w:rsidRDefault="00E17FB8" w:rsidP="00E17FB8">
      <w:pPr>
        <w:jc w:val="center"/>
        <w:rPr>
          <w:b/>
          <w:smallCaps/>
          <w:sz w:val="24"/>
          <w:szCs w:val="24"/>
          <w:u w:val="single"/>
        </w:rPr>
      </w:pPr>
    </w:p>
    <w:p w:rsidR="00E17FB8" w:rsidRPr="00D55B01" w:rsidRDefault="00E17FB8" w:rsidP="00E17FB8">
      <w:pPr>
        <w:jc w:val="center"/>
        <w:rPr>
          <w:b/>
          <w:smallCaps/>
          <w:sz w:val="24"/>
          <w:szCs w:val="24"/>
          <w:u w:val="single"/>
        </w:rPr>
      </w:pPr>
    </w:p>
    <w:tbl>
      <w:tblPr>
        <w:tblStyle w:val="Grigliatabella"/>
        <w:tblW w:w="0" w:type="auto"/>
        <w:tblInd w:w="3227" w:type="dxa"/>
        <w:shd w:val="clear" w:color="auto" w:fill="92D050"/>
        <w:tblLook w:val="04A0"/>
      </w:tblPr>
      <w:tblGrid>
        <w:gridCol w:w="3544"/>
      </w:tblGrid>
      <w:tr w:rsidR="00E17FB8" w:rsidRPr="00D55B01" w:rsidTr="00273C2E">
        <w:tc>
          <w:tcPr>
            <w:tcW w:w="3544" w:type="dxa"/>
            <w:shd w:val="clear" w:color="auto" w:fill="92D050"/>
          </w:tcPr>
          <w:p w:rsidR="00E17FB8" w:rsidRPr="00D55B01" w:rsidRDefault="00E17FB8" w:rsidP="00273C2E">
            <w:pPr>
              <w:jc w:val="center"/>
              <w:rPr>
                <w:b/>
                <w:smallCaps/>
                <w:sz w:val="24"/>
                <w:szCs w:val="24"/>
                <w:u w:val="single"/>
              </w:rPr>
            </w:pPr>
          </w:p>
          <w:p w:rsidR="00E17FB8" w:rsidRPr="00D55B01" w:rsidRDefault="00E17FB8" w:rsidP="00273C2E">
            <w:pPr>
              <w:shd w:val="clear" w:color="auto" w:fill="92D050"/>
              <w:jc w:val="center"/>
              <w:rPr>
                <w:b/>
                <w:smallCaps/>
                <w:color w:val="FFFFFF" w:themeColor="background1"/>
                <w:sz w:val="60"/>
                <w:szCs w:val="60"/>
              </w:rPr>
            </w:pPr>
            <w:r>
              <w:rPr>
                <w:b/>
                <w:smallCaps/>
                <w:color w:val="FFFFFF" w:themeColor="background1"/>
                <w:sz w:val="60"/>
                <w:szCs w:val="60"/>
              </w:rPr>
              <w:t>SCHEDA</w:t>
            </w:r>
          </w:p>
          <w:p w:rsidR="00E17FB8" w:rsidRPr="00D55B01" w:rsidRDefault="00E17FB8" w:rsidP="00273C2E">
            <w:pPr>
              <w:jc w:val="center"/>
              <w:rPr>
                <w:b/>
                <w:smallCaps/>
                <w:sz w:val="24"/>
                <w:szCs w:val="24"/>
                <w:u w:val="single"/>
              </w:rPr>
            </w:pPr>
          </w:p>
        </w:tc>
      </w:tr>
    </w:tbl>
    <w:p w:rsidR="00E17FB8" w:rsidRPr="00D55B01" w:rsidRDefault="00E17FB8" w:rsidP="00E17FB8">
      <w:pPr>
        <w:jc w:val="center"/>
        <w:rPr>
          <w:b/>
          <w:smallCaps/>
          <w:sz w:val="24"/>
          <w:szCs w:val="24"/>
          <w:u w:val="single"/>
        </w:rPr>
      </w:pPr>
    </w:p>
    <w:p w:rsidR="00E17FB8" w:rsidRDefault="00E17FB8" w:rsidP="00E17FB8">
      <w:pPr>
        <w:pStyle w:val="Titolo2"/>
        <w:spacing w:before="0"/>
        <w:jc w:val="center"/>
        <w:rPr>
          <w:rFonts w:cs="Times New Roman"/>
          <w:color w:val="009900"/>
          <w:sz w:val="48"/>
          <w:szCs w:val="48"/>
        </w:rPr>
      </w:pPr>
    </w:p>
    <w:p w:rsidR="00E17FB8" w:rsidRDefault="00E17FB8" w:rsidP="00E17FB8">
      <w:pPr>
        <w:pStyle w:val="Titolo2"/>
        <w:spacing w:before="0"/>
        <w:jc w:val="center"/>
        <w:rPr>
          <w:rFonts w:cs="Times New Roman"/>
          <w:color w:val="009900"/>
          <w:sz w:val="36"/>
          <w:szCs w:val="36"/>
        </w:rPr>
      </w:pPr>
      <w:r>
        <w:rPr>
          <w:rFonts w:cs="Times New Roman"/>
          <w:color w:val="009900"/>
          <w:sz w:val="36"/>
          <w:szCs w:val="36"/>
        </w:rPr>
        <w:t>COMMISSIONE GARANZIA STATUTI E</w:t>
      </w:r>
    </w:p>
    <w:p w:rsidR="00E17FB8" w:rsidRPr="006661A0" w:rsidRDefault="00E17FB8" w:rsidP="00E17FB8">
      <w:pPr>
        <w:pStyle w:val="Titolo2"/>
        <w:spacing w:before="0"/>
        <w:jc w:val="center"/>
        <w:rPr>
          <w:rFonts w:cs="Times New Roman"/>
          <w:color w:val="009900"/>
          <w:sz w:val="36"/>
          <w:szCs w:val="36"/>
        </w:rPr>
      </w:pPr>
      <w:r>
        <w:rPr>
          <w:rFonts w:cs="Times New Roman"/>
          <w:color w:val="009900"/>
          <w:sz w:val="36"/>
          <w:szCs w:val="36"/>
        </w:rPr>
        <w:t>RENDICONTI PARTITI POLITICI</w:t>
      </w:r>
    </w:p>
    <w:p w:rsidR="00E17FB8" w:rsidRPr="00C73CD4" w:rsidRDefault="00E17FB8" w:rsidP="00E17FB8"/>
    <w:p w:rsidR="00E17FB8" w:rsidRPr="00C8732D" w:rsidRDefault="00E17FB8" w:rsidP="00E17FB8">
      <w:pPr>
        <w:pStyle w:val="NormaleWeb"/>
        <w:spacing w:before="0" w:beforeAutospacing="0" w:after="0" w:afterAutospacing="0" w:line="360" w:lineRule="auto"/>
        <w:jc w:val="center"/>
        <w:rPr>
          <w:rFonts w:asciiTheme="minorHAnsi" w:hAnsiTheme="minorHAnsi"/>
          <w:sz w:val="28"/>
          <w:szCs w:val="28"/>
        </w:rPr>
      </w:pPr>
      <w:r w:rsidRPr="006661A0">
        <w:rPr>
          <w:rFonts w:asciiTheme="minorHAnsi" w:hAnsiTheme="minorHAnsi"/>
          <w:color w:val="009900"/>
          <w:sz w:val="32"/>
          <w:szCs w:val="32"/>
        </w:rPr>
        <w:t>Sintesi del contenuto del provvedimento</w:t>
      </w:r>
      <w:r w:rsidRPr="00C8732D">
        <w:rPr>
          <w:rStyle w:val="Enfasigrassetto"/>
          <w:rFonts w:asciiTheme="minorHAnsi" w:hAnsiTheme="minorHAnsi"/>
        </w:rPr>
        <w:t xml:space="preserve">  </w:t>
      </w:r>
      <w:r w:rsidRPr="00C8732D">
        <w:rPr>
          <w:rFonts w:asciiTheme="minorHAnsi" w:hAnsiTheme="minorHAnsi"/>
          <w:b/>
          <w:bCs/>
          <w:sz w:val="28"/>
          <w:szCs w:val="28"/>
        </w:rPr>
        <w:br/>
      </w:r>
    </w:p>
    <w:p w:rsidR="00E17FB8" w:rsidRPr="009F2AC5" w:rsidRDefault="00E17FB8" w:rsidP="00E17FB8">
      <w:pPr>
        <w:rPr>
          <w:i/>
          <w:u w:val="single"/>
          <w:lang w:val="it-IT"/>
        </w:rPr>
      </w:pPr>
    </w:p>
    <w:p w:rsidR="00E17FB8" w:rsidRPr="009F2AC5" w:rsidRDefault="00E17FB8" w:rsidP="00E17FB8">
      <w:pPr>
        <w:rPr>
          <w:i/>
          <w:u w:val="single"/>
          <w:lang w:val="it-IT"/>
        </w:rPr>
      </w:pPr>
    </w:p>
    <w:p w:rsidR="00E17FB8" w:rsidRPr="009F2AC5" w:rsidRDefault="00E17FB8" w:rsidP="00E17FB8">
      <w:pPr>
        <w:rPr>
          <w:i/>
          <w:u w:val="single"/>
          <w:lang w:val="it-IT"/>
        </w:rPr>
      </w:pPr>
    </w:p>
    <w:p w:rsidR="00E17FB8" w:rsidRPr="009F2AC5" w:rsidRDefault="00E17FB8" w:rsidP="00E17FB8">
      <w:pPr>
        <w:rPr>
          <w:i/>
          <w:u w:val="single"/>
          <w:lang w:val="it-IT"/>
        </w:rPr>
      </w:pPr>
    </w:p>
    <w:p w:rsidR="00E17FB8" w:rsidRPr="009F2AC5" w:rsidRDefault="00E17FB8" w:rsidP="00E17FB8">
      <w:pPr>
        <w:rPr>
          <w:i/>
          <w:u w:val="single"/>
          <w:lang w:val="it-IT"/>
        </w:rPr>
      </w:pPr>
    </w:p>
    <w:p w:rsidR="00E17FB8" w:rsidRPr="009F2AC5" w:rsidRDefault="00E17FB8" w:rsidP="00E17FB8">
      <w:pPr>
        <w:rPr>
          <w:i/>
          <w:u w:val="single"/>
          <w:lang w:val="it-IT"/>
        </w:rPr>
      </w:pPr>
    </w:p>
    <w:p w:rsidR="00E17FB8" w:rsidRPr="009F2AC5" w:rsidRDefault="00E17FB8" w:rsidP="00E17FB8">
      <w:pPr>
        <w:jc w:val="right"/>
        <w:rPr>
          <w:i/>
          <w:lang w:val="it-IT"/>
        </w:rPr>
      </w:pPr>
    </w:p>
    <w:p w:rsidR="00E17FB8" w:rsidRPr="009F2AC5" w:rsidRDefault="00E17FB8" w:rsidP="00E17FB8">
      <w:pPr>
        <w:jc w:val="right"/>
        <w:rPr>
          <w:i/>
          <w:lang w:val="it-IT"/>
        </w:rPr>
      </w:pPr>
      <w:r w:rsidRPr="009F2AC5">
        <w:rPr>
          <w:i/>
          <w:lang w:val="it-IT"/>
        </w:rPr>
        <w:t>1</w:t>
      </w:r>
      <w:r w:rsidR="00281284" w:rsidRPr="009F2AC5">
        <w:rPr>
          <w:i/>
          <w:lang w:val="it-IT"/>
        </w:rPr>
        <w:t>5</w:t>
      </w:r>
      <w:r w:rsidRPr="009F2AC5">
        <w:rPr>
          <w:i/>
          <w:lang w:val="it-IT"/>
        </w:rPr>
        <w:t xml:space="preserve"> ottobre 2015</w:t>
      </w:r>
    </w:p>
    <w:p w:rsidR="00E17FB8" w:rsidRPr="009F2AC5" w:rsidRDefault="00E17FB8" w:rsidP="00E17FB8">
      <w:pPr>
        <w:rPr>
          <w:i/>
          <w:u w:val="single"/>
          <w:lang w:val="it-IT"/>
        </w:rPr>
      </w:pPr>
    </w:p>
    <w:p w:rsidR="00E17FB8" w:rsidRPr="009F2AC5" w:rsidRDefault="00E17FB8" w:rsidP="00E17FB8">
      <w:pPr>
        <w:rPr>
          <w:i/>
          <w:lang w:val="it-IT"/>
        </w:rPr>
      </w:pPr>
      <w:r w:rsidRPr="009F2AC5">
        <w:rPr>
          <w:i/>
          <w:lang w:val="it-IT"/>
        </w:rPr>
        <w:t xml:space="preserve">A cura di Antonio Arena  </w:t>
      </w:r>
    </w:p>
    <w:p w:rsidR="00E17FB8" w:rsidRDefault="00E17FB8">
      <w:pPr>
        <w:rPr>
          <w:rFonts w:ascii="Times New Roman" w:hAnsi="Times New Roman" w:cs="Times New Roman"/>
          <w:b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br w:type="page"/>
      </w:r>
    </w:p>
    <w:p w:rsidR="00D72D3B" w:rsidRPr="0096471A" w:rsidRDefault="00D72D3B" w:rsidP="00D72D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96471A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 xml:space="preserve">Disegno di legge A.S. </w:t>
      </w:r>
      <w:r w:rsidR="006802D7" w:rsidRPr="0096471A">
        <w:rPr>
          <w:rFonts w:ascii="Times New Roman" w:hAnsi="Times New Roman" w:cs="Times New Roman"/>
          <w:b/>
          <w:sz w:val="28"/>
          <w:szCs w:val="28"/>
          <w:lang w:val="it-IT"/>
        </w:rPr>
        <w:t>2054</w:t>
      </w:r>
      <w:r w:rsidRPr="0096471A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</w:p>
    <w:p w:rsidR="00D72D3B" w:rsidRDefault="00D72D3B" w:rsidP="00D72D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6802D7" w:rsidRPr="0096471A" w:rsidRDefault="00D72D3B" w:rsidP="00D72D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96471A">
        <w:rPr>
          <w:rFonts w:ascii="Times New Roman" w:hAnsi="Times New Roman" w:cs="Times New Roman"/>
          <w:sz w:val="24"/>
          <w:szCs w:val="24"/>
          <w:lang w:val="it-IT"/>
        </w:rPr>
        <w:t>(</w:t>
      </w:r>
      <w:r w:rsidRPr="0096471A">
        <w:rPr>
          <w:rStyle w:val="titolo30"/>
          <w:rFonts w:ascii="Times New Roman" w:hAnsi="Times New Roman" w:cs="Times New Roman"/>
          <w:i/>
          <w:color w:val="000000"/>
          <w:sz w:val="24"/>
          <w:szCs w:val="24"/>
          <w:lang w:val="it-IT"/>
        </w:rPr>
        <w:t>Modifiche all'articolo 9 della legge 6 luglio 2012, n.</w:t>
      </w:r>
      <w:r w:rsidRPr="0096471A">
        <w:rPr>
          <w:rStyle w:val="titolo30"/>
          <w:rFonts w:ascii="Times New Roman" w:hAnsi="Calibri" w:cs="Times New Roman"/>
          <w:i/>
          <w:color w:val="000000"/>
          <w:sz w:val="24"/>
          <w:szCs w:val="24"/>
        </w:rPr>
        <w:t></w:t>
      </w:r>
      <w:r w:rsidRPr="0096471A">
        <w:rPr>
          <w:rStyle w:val="titolo30"/>
          <w:rFonts w:ascii="Times New Roman" w:hAnsi="Times New Roman" w:cs="Times New Roman"/>
          <w:i/>
          <w:color w:val="000000"/>
          <w:sz w:val="24"/>
          <w:szCs w:val="24"/>
          <w:lang w:val="it-IT"/>
        </w:rPr>
        <w:t>96, concernenti la Commissione di garanzia degli statuti e per la trasparenza e il controllo dei rendiconti dei partiti politici</w:t>
      </w:r>
      <w:r w:rsidRPr="0096471A">
        <w:rPr>
          <w:rFonts w:ascii="Times New Roman" w:hAnsi="Times New Roman" w:cs="Times New Roman"/>
          <w:sz w:val="24"/>
          <w:szCs w:val="24"/>
          <w:lang w:val="it-IT"/>
        </w:rPr>
        <w:t>)</w:t>
      </w:r>
    </w:p>
    <w:p w:rsidR="00D72D3B" w:rsidRPr="00D72D3B" w:rsidRDefault="00D72D3B" w:rsidP="00D72D3B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  <w:lang w:val="it-IT"/>
        </w:rPr>
      </w:pPr>
    </w:p>
    <w:p w:rsidR="00E17FB8" w:rsidRDefault="00E17FB8" w:rsidP="00E17FB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:rsidR="00CF48FD" w:rsidRPr="0096471A" w:rsidRDefault="00CF48FD" w:rsidP="00E17FB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Il </w:t>
      </w:r>
      <w:r w:rsidR="006802D7" w:rsidRPr="0096471A">
        <w:rPr>
          <w:rFonts w:ascii="Times New Roman" w:hAnsi="Times New Roman" w:cs="Times New Roman"/>
          <w:sz w:val="24"/>
          <w:szCs w:val="24"/>
          <w:lang w:val="it-IT"/>
        </w:rPr>
        <w:t>disegno di legge</w:t>
      </w:r>
      <w:r w:rsidR="00281284">
        <w:rPr>
          <w:rFonts w:ascii="Times New Roman" w:hAnsi="Times New Roman" w:cs="Times New Roman"/>
          <w:sz w:val="24"/>
          <w:szCs w:val="24"/>
          <w:lang w:val="it-IT"/>
        </w:rPr>
        <w:t>, approvato in via definitiva il 14 ottobre al Senato,</w:t>
      </w:r>
      <w:r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reca </w:t>
      </w:r>
      <w:r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modifiche all'articolo 9 della legge 6 luglio 2012, n. 96</w:t>
      </w:r>
      <w:r w:rsidR="006802D7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. Tale disposizione è relativa</w:t>
      </w:r>
      <w:r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alla Commissione di garanzia degli statuti e per la trasparenza e il controllo dei r</w:t>
      </w:r>
      <w:r w:rsidR="00633118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endiconti dei part</w:t>
      </w:r>
      <w:r w:rsidR="006802D7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iti politici. Le modifiche proposte sono finalizzate al potenziamento dell</w:t>
      </w:r>
      <w:r w:rsidR="007643A6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'organico</w:t>
      </w:r>
      <w:r w:rsidR="006802D7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, posto che quello attuale si è</w:t>
      </w:r>
      <w:r w:rsidR="007643A6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finora </w:t>
      </w:r>
      <w:r w:rsidR="006802D7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rivelato </w:t>
      </w:r>
      <w:r w:rsidR="007643A6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insufficiente</w:t>
      </w:r>
      <w:r w:rsidR="006802D7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. </w:t>
      </w:r>
      <w:r w:rsidR="004346DD">
        <w:rPr>
          <w:rFonts w:ascii="Times New Roman" w:hAnsi="Times New Roman" w:cs="Times New Roman"/>
          <w:color w:val="000000"/>
          <w:sz w:val="24"/>
          <w:szCs w:val="24"/>
          <w:lang w:val="it-IT"/>
        </w:rPr>
        <w:t>T</w:t>
      </w:r>
      <w:r w:rsidR="006802D7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ale misura rendere</w:t>
      </w:r>
      <w:r w:rsidR="004346DD">
        <w:rPr>
          <w:rFonts w:ascii="Times New Roman" w:hAnsi="Times New Roman" w:cs="Times New Roman"/>
          <w:color w:val="000000"/>
          <w:sz w:val="24"/>
          <w:szCs w:val="24"/>
          <w:lang w:val="it-IT"/>
        </w:rPr>
        <w:t>bbe</w:t>
      </w:r>
      <w:r w:rsidR="006802D7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effettivo il controllo</w:t>
      </w:r>
      <w:r w:rsidR="00633118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sui partiti</w:t>
      </w:r>
      <w:r w:rsidR="006802D7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, incrementare la </w:t>
      </w:r>
      <w:r w:rsidR="006802D7" w:rsidRPr="008A2B6A">
        <w:rPr>
          <w:rFonts w:ascii="Times New Roman" w:hAnsi="Times New Roman" w:cs="Times New Roman"/>
          <w:b/>
          <w:color w:val="000000"/>
          <w:sz w:val="24"/>
          <w:szCs w:val="24"/>
          <w:lang w:val="it-IT"/>
        </w:rPr>
        <w:t>trasparenza</w:t>
      </w:r>
      <w:r w:rsidR="006802D7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, riavvicinare i cittadini alla politica</w:t>
      </w:r>
      <w:r w:rsidR="00633118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.</w:t>
      </w:r>
    </w:p>
    <w:p w:rsidR="00F605E2" w:rsidRPr="0096471A" w:rsidRDefault="00D72D3B" w:rsidP="00E17FB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Il disegno di legge consta di soli tre articoli. </w:t>
      </w:r>
    </w:p>
    <w:p w:rsidR="00E17FB8" w:rsidRDefault="00CF48FD" w:rsidP="00E17FB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La principale novità riguarda la </w:t>
      </w:r>
      <w:r w:rsidRPr="0096471A">
        <w:rPr>
          <w:rFonts w:ascii="Times New Roman" w:hAnsi="Times New Roman" w:cs="Times New Roman"/>
          <w:b/>
          <w:color w:val="000000"/>
          <w:sz w:val="24"/>
          <w:szCs w:val="24"/>
          <w:lang w:val="it-IT"/>
        </w:rPr>
        <w:t>composizione della Commissione</w:t>
      </w:r>
      <w:r w:rsidR="00951F50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. </w:t>
      </w:r>
    </w:p>
    <w:p w:rsidR="009417A2" w:rsidRPr="0096471A" w:rsidRDefault="00E17FB8" w:rsidP="00E17FB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it-IT"/>
        </w:rPr>
        <w:t>A</w:t>
      </w:r>
      <w:r w:rsidR="00CF48FD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ll'ar</w:t>
      </w:r>
      <w:r>
        <w:rPr>
          <w:rFonts w:ascii="Times New Roman" w:hAnsi="Times New Roman" w:cs="Times New Roman"/>
          <w:color w:val="000000"/>
          <w:sz w:val="24"/>
          <w:szCs w:val="24"/>
          <w:lang w:val="it-IT"/>
        </w:rPr>
        <w:t>ticolo</w:t>
      </w:r>
      <w:r w:rsidR="00D72D3B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1, primo comma, lettera a)</w:t>
      </w:r>
      <w:r w:rsidR="00CF48FD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, </w:t>
      </w:r>
      <w:r w:rsidR="000102F5">
        <w:rPr>
          <w:rFonts w:ascii="Times New Roman" w:hAnsi="Times New Roman" w:cs="Times New Roman"/>
          <w:color w:val="000000"/>
          <w:sz w:val="24"/>
          <w:szCs w:val="24"/>
          <w:lang w:val="it-IT"/>
        </w:rPr>
        <w:t>è prevista</w:t>
      </w:r>
      <w:r w:rsidR="00951F50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</w:t>
      </w:r>
      <w:r w:rsidR="00CF48FD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la possibilità di avvalersi di 5 unità di personale dipendente </w:t>
      </w:r>
      <w:r w:rsidR="007643A6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della Corte dei conti, da applicare alle attività di revisione, nonché di 2 ulteriori unità di personale dipendente da altre pubbliche amministrazioni, da impiegare nelle attività di controllo contabile. </w:t>
      </w:r>
      <w:r w:rsidR="00633118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Queste figure potranno integrare</w:t>
      </w:r>
      <w:r w:rsidR="007643A6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i 5 </w:t>
      </w:r>
      <w:r w:rsidR="00633118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componenti della Commissione </w:t>
      </w:r>
      <w:r w:rsidR="007643A6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già previst</w:t>
      </w:r>
      <w:r w:rsidR="00633118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>i e designati dai vertici delle magistrature ordinaria e amministrative (</w:t>
      </w:r>
      <w:r w:rsidR="00F605E2" w:rsidRPr="0096471A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>uno</w:t>
      </w:r>
      <w:r w:rsidR="00633118" w:rsidRPr="00633118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 xml:space="preserve"> dal  Primo  </w:t>
      </w:r>
      <w:r w:rsidR="009F2AC5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>P</w:t>
      </w:r>
      <w:r w:rsidR="00633118" w:rsidRPr="00633118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>residente  della</w:t>
      </w:r>
      <w:r w:rsidR="00633118" w:rsidRPr="0096471A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 xml:space="preserve"> </w:t>
      </w:r>
      <w:r w:rsidR="00633118" w:rsidRPr="00633118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>Co</w:t>
      </w:r>
      <w:r w:rsidR="00F605E2" w:rsidRPr="0096471A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>rte di cassazione, uno</w:t>
      </w:r>
      <w:r w:rsidR="00633118" w:rsidRPr="00633118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 xml:space="preserve"> dal Presidente  del  Consiglio  di</w:t>
      </w:r>
      <w:r w:rsidR="00633118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</w:t>
      </w:r>
      <w:r w:rsidR="00F605E2" w:rsidRPr="0096471A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>Stato e tre</w:t>
      </w:r>
      <w:r w:rsidR="00633118" w:rsidRPr="00633118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 xml:space="preserve"> dal Pre</w:t>
      </w:r>
      <w:r w:rsidR="00F605E2" w:rsidRPr="0096471A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 xml:space="preserve">sidente della Corte dei conti. Tutti </w:t>
      </w:r>
      <w:r w:rsidR="00633118" w:rsidRPr="00633118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>i</w:t>
      </w:r>
      <w:r w:rsidR="00633118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</w:t>
      </w:r>
      <w:r w:rsidR="00F605E2" w:rsidRPr="0096471A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>componenti sono scelti fra i magistrati</w:t>
      </w:r>
      <w:r w:rsidR="00633118" w:rsidRPr="00633118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 xml:space="preserve"> </w:t>
      </w:r>
      <w:r w:rsidR="00F605E2" w:rsidRPr="0096471A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 xml:space="preserve">dei rispettivi </w:t>
      </w:r>
      <w:r w:rsidR="00633118" w:rsidRPr="00633118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>ordini</w:t>
      </w:r>
      <w:r w:rsidR="00633118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</w:t>
      </w:r>
      <w:r w:rsidR="00633118" w:rsidRPr="00633118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>giurisdizionali con q</w:t>
      </w:r>
      <w:r w:rsidR="009417A2" w:rsidRPr="0096471A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 xml:space="preserve">ualifica non inferiore a quella di </w:t>
      </w:r>
      <w:r w:rsidR="00633118" w:rsidRPr="00633118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>consigliere</w:t>
      </w:r>
      <w:r w:rsidR="00633118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</w:t>
      </w:r>
      <w:r w:rsidR="00633118" w:rsidRPr="0096471A">
        <w:rPr>
          <w:rFonts w:ascii="Times New Roman" w:eastAsia="Times New Roman" w:hAnsi="Times New Roman" w:cs="Times New Roman"/>
          <w:sz w:val="24"/>
          <w:szCs w:val="24"/>
          <w:lang w:val="it-IT" w:eastAsia="it-IT" w:bidi="ar-SA"/>
        </w:rPr>
        <w:t xml:space="preserve">di cassazione o equiparata). </w:t>
      </w:r>
      <w:r w:rsidR="00633118" w:rsidRPr="0096471A">
        <w:rPr>
          <w:rFonts w:ascii="Times New Roman" w:hAnsi="Times New Roman" w:cs="Times New Roman"/>
          <w:sz w:val="24"/>
          <w:szCs w:val="24"/>
          <w:lang w:val="it-IT"/>
        </w:rPr>
        <w:t>I dipendenti chiamati ad integrare la composizione della C</w:t>
      </w:r>
      <w:r w:rsidR="002914C5">
        <w:rPr>
          <w:rFonts w:ascii="Times New Roman" w:hAnsi="Times New Roman" w:cs="Times New Roman"/>
          <w:sz w:val="24"/>
          <w:szCs w:val="24"/>
          <w:lang w:val="it-IT"/>
        </w:rPr>
        <w:t xml:space="preserve">ommissione </w:t>
      </w:r>
      <w:r w:rsidR="006802D7" w:rsidRPr="0096471A">
        <w:rPr>
          <w:rFonts w:ascii="Times New Roman" w:hAnsi="Times New Roman" w:cs="Times New Roman"/>
          <w:sz w:val="24"/>
          <w:szCs w:val="24"/>
          <w:lang w:val="it-IT"/>
        </w:rPr>
        <w:t>sarebbero</w:t>
      </w:r>
      <w:r w:rsidR="00633118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collocati fuori ruolo dalle amministrazio</w:t>
      </w:r>
      <w:r w:rsidR="006802D7" w:rsidRPr="0096471A">
        <w:rPr>
          <w:rFonts w:ascii="Times New Roman" w:hAnsi="Times New Roman" w:cs="Times New Roman"/>
          <w:sz w:val="24"/>
          <w:szCs w:val="24"/>
          <w:lang w:val="it-IT"/>
        </w:rPr>
        <w:t>ni di appartenenza e beneficerebbero</w:t>
      </w:r>
      <w:r w:rsidR="00633118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del medesimo trattamento economico lordo annuo in godimento al momento dell’incarico, ivi inclu</w:t>
      </w:r>
      <w:r w:rsidR="009417A2" w:rsidRPr="0096471A">
        <w:rPr>
          <w:rFonts w:ascii="Times New Roman" w:hAnsi="Times New Roman" w:cs="Times New Roman"/>
          <w:sz w:val="24"/>
          <w:szCs w:val="24"/>
          <w:lang w:val="it-IT"/>
        </w:rPr>
        <w:t>se le indennità accessorie (il tutto</w:t>
      </w:r>
      <w:r w:rsidR="00633118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a carico delle amministrazioni di appartenenza</w:t>
      </w:r>
      <w:r w:rsidR="009417A2" w:rsidRPr="0096471A">
        <w:rPr>
          <w:rFonts w:ascii="Times New Roman" w:hAnsi="Times New Roman" w:cs="Times New Roman"/>
          <w:sz w:val="24"/>
          <w:szCs w:val="24"/>
          <w:lang w:val="it-IT"/>
        </w:rPr>
        <w:t>)</w:t>
      </w:r>
      <w:r w:rsidR="00633118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. </w:t>
      </w:r>
      <w:r w:rsidR="009F2AC5">
        <w:rPr>
          <w:rFonts w:ascii="Times New Roman" w:hAnsi="Times New Roman" w:cs="Times New Roman"/>
          <w:sz w:val="24"/>
          <w:szCs w:val="24"/>
          <w:lang w:val="it-IT"/>
        </w:rPr>
        <w:t>O</w:t>
      </w:r>
      <w:r w:rsidR="009417A2" w:rsidRPr="0096471A">
        <w:rPr>
          <w:rFonts w:ascii="Times New Roman" w:hAnsi="Times New Roman" w:cs="Times New Roman"/>
          <w:sz w:val="24"/>
          <w:szCs w:val="24"/>
          <w:lang w:val="it-IT"/>
        </w:rPr>
        <w:t>nde evitare aggravi di spesa, a</w:t>
      </w:r>
      <w:r w:rsidR="00633118" w:rsidRPr="0096471A">
        <w:rPr>
          <w:rFonts w:ascii="Times New Roman" w:hAnsi="Times New Roman" w:cs="Times New Roman"/>
          <w:sz w:val="24"/>
          <w:szCs w:val="24"/>
          <w:lang w:val="it-IT"/>
        </w:rPr>
        <w:t>ll’atto del collocamento fuori ruolo dei</w:t>
      </w:r>
      <w:r w:rsidR="006802D7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predetti dipendenti, verrebbe</w:t>
      </w:r>
      <w:r w:rsidR="00633118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reso indisponibile</w:t>
      </w:r>
      <w:r w:rsidR="009417A2" w:rsidRPr="0096471A">
        <w:rPr>
          <w:rFonts w:ascii="Times New Roman" w:hAnsi="Times New Roman" w:cs="Times New Roman"/>
          <w:sz w:val="24"/>
          <w:szCs w:val="24"/>
          <w:lang w:val="it-IT"/>
        </w:rPr>
        <w:t>,</w:t>
      </w:r>
      <w:r w:rsidR="00633118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per tutta la durata del collocamento </w:t>
      </w:r>
      <w:r w:rsidR="009F2AC5">
        <w:rPr>
          <w:rFonts w:ascii="Times New Roman" w:hAnsi="Times New Roman" w:cs="Times New Roman"/>
          <w:sz w:val="24"/>
          <w:szCs w:val="24"/>
          <w:lang w:val="it-IT"/>
        </w:rPr>
        <w:t>stesso</w:t>
      </w:r>
      <w:r w:rsidR="009417A2" w:rsidRPr="0096471A">
        <w:rPr>
          <w:rFonts w:ascii="Times New Roman" w:hAnsi="Times New Roman" w:cs="Times New Roman"/>
          <w:sz w:val="24"/>
          <w:szCs w:val="24"/>
          <w:lang w:val="it-IT"/>
        </w:rPr>
        <w:t>,</w:t>
      </w:r>
      <w:r w:rsidR="00633118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un numero di posti nella dotazione organica dell’amministrazione di appartenenza equivalente dal punto di vista finanziario.</w:t>
      </w:r>
      <w:r w:rsidR="009417A2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</w:t>
      </w:r>
    </w:p>
    <w:p w:rsidR="00F605E2" w:rsidRPr="0096471A" w:rsidRDefault="00E17FB8" w:rsidP="00E17FB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it-IT"/>
        </w:rPr>
        <w:t>Il</w:t>
      </w:r>
      <w:r w:rsidR="009417A2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secondo comma,</w:t>
      </w:r>
      <w:r w:rsidR="007643A6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</w:t>
      </w:r>
      <w:r w:rsidR="008A2B6A">
        <w:rPr>
          <w:rFonts w:ascii="Times New Roman" w:hAnsi="Times New Roman" w:cs="Times New Roman"/>
          <w:color w:val="000000"/>
          <w:sz w:val="24"/>
          <w:szCs w:val="24"/>
          <w:lang w:val="it-IT"/>
        </w:rPr>
        <w:t>dispone</w:t>
      </w:r>
      <w:r w:rsidR="00834BD6" w:rsidRPr="0096471A">
        <w:rPr>
          <w:rFonts w:ascii="Times New Roman" w:hAnsi="Times New Roman" w:cs="Times New Roman"/>
          <w:color w:val="000000"/>
          <w:sz w:val="24"/>
          <w:szCs w:val="24"/>
          <w:lang w:val="it-IT"/>
        </w:rPr>
        <w:t xml:space="preserve"> che </w:t>
      </w:r>
      <w:r w:rsidR="00F605E2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le </w:t>
      </w:r>
      <w:r w:rsidR="00834BD6" w:rsidRPr="0096471A">
        <w:rPr>
          <w:rFonts w:ascii="Times New Roman" w:hAnsi="Times New Roman" w:cs="Times New Roman"/>
          <w:sz w:val="24"/>
          <w:szCs w:val="24"/>
          <w:lang w:val="it-IT"/>
        </w:rPr>
        <w:t>attività di co</w:t>
      </w:r>
      <w:r w:rsidR="006802D7" w:rsidRPr="0096471A">
        <w:rPr>
          <w:rFonts w:ascii="Times New Roman" w:hAnsi="Times New Roman" w:cs="Times New Roman"/>
          <w:sz w:val="24"/>
          <w:szCs w:val="24"/>
          <w:lang w:val="it-IT"/>
        </w:rPr>
        <w:t>ntrollo contabile dovranno riferirsi</w:t>
      </w:r>
      <w:r w:rsidR="00834BD6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ai rendiconti dei partiti politi</w:t>
      </w:r>
      <w:r w:rsidR="00F605E2" w:rsidRPr="0096471A">
        <w:rPr>
          <w:rFonts w:ascii="Times New Roman" w:hAnsi="Times New Roman" w:cs="Times New Roman"/>
          <w:sz w:val="24"/>
          <w:szCs w:val="24"/>
          <w:lang w:val="it-IT"/>
        </w:rPr>
        <w:t>ci</w:t>
      </w:r>
      <w:r w:rsidR="00834BD6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relativi agli </w:t>
      </w:r>
      <w:r w:rsidR="00834BD6" w:rsidRPr="0096471A">
        <w:rPr>
          <w:rFonts w:ascii="Times New Roman" w:hAnsi="Times New Roman" w:cs="Times New Roman"/>
          <w:b/>
          <w:sz w:val="24"/>
          <w:szCs w:val="24"/>
          <w:lang w:val="it-IT"/>
        </w:rPr>
        <w:t>esercizi successivi al 2014</w:t>
      </w:r>
      <w:r w:rsidR="00834BD6" w:rsidRPr="0096471A">
        <w:rPr>
          <w:rFonts w:ascii="Times New Roman" w:hAnsi="Times New Roman" w:cs="Times New Roman"/>
          <w:sz w:val="24"/>
          <w:szCs w:val="24"/>
          <w:lang w:val="it-IT"/>
        </w:rPr>
        <w:t>. Quanto al controllo effettuato sui rendiconti dei partiti politici relativi all'</w:t>
      </w:r>
      <w:r w:rsidR="00834BD6" w:rsidRPr="0096471A">
        <w:rPr>
          <w:rFonts w:ascii="Times New Roman" w:hAnsi="Times New Roman" w:cs="Times New Roman"/>
          <w:b/>
          <w:sz w:val="24"/>
          <w:szCs w:val="24"/>
          <w:lang w:val="it-IT"/>
        </w:rPr>
        <w:t>esercizio</w:t>
      </w:r>
      <w:r w:rsidR="009417A2" w:rsidRPr="0096471A">
        <w:rPr>
          <w:rFonts w:ascii="Times New Roman" w:hAnsi="Times New Roman" w:cs="Times New Roman"/>
          <w:b/>
          <w:sz w:val="24"/>
          <w:szCs w:val="24"/>
          <w:lang w:val="it-IT"/>
        </w:rPr>
        <w:t xml:space="preserve"> 2013</w:t>
      </w:r>
      <w:r w:rsidR="009417A2" w:rsidRPr="0096471A">
        <w:rPr>
          <w:rFonts w:ascii="Times New Roman" w:hAnsi="Times New Roman" w:cs="Times New Roman"/>
          <w:sz w:val="24"/>
          <w:szCs w:val="24"/>
          <w:lang w:val="it-IT"/>
        </w:rPr>
        <w:t>, il terzo comma</w:t>
      </w:r>
      <w:r w:rsidR="00834BD6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9417A2" w:rsidRPr="0096471A">
        <w:rPr>
          <w:rFonts w:ascii="Times New Roman" w:hAnsi="Times New Roman" w:cs="Times New Roman"/>
          <w:sz w:val="24"/>
          <w:szCs w:val="24"/>
          <w:lang w:val="it-IT"/>
        </w:rPr>
        <w:t>dello stesso articolo stabilisce</w:t>
      </w:r>
      <w:r w:rsidR="00834BD6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che la Commissione debba approvare la relazione sulla regolarità e conformità dei rendiconti presentati dai partiti politici entro 30 giorni dalla data di entrata in vigore della </w:t>
      </w:r>
      <w:r w:rsidR="006802D7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legge </w:t>
      </w:r>
      <w:r w:rsidR="00834BD6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stessa. </w:t>
      </w:r>
      <w:r w:rsidR="006802D7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Il termine breve si </w:t>
      </w:r>
      <w:r w:rsidR="006802D7" w:rsidRPr="0096471A">
        <w:rPr>
          <w:rFonts w:ascii="Times New Roman" w:hAnsi="Times New Roman" w:cs="Times New Roman"/>
          <w:sz w:val="24"/>
          <w:szCs w:val="24"/>
          <w:lang w:val="it-IT"/>
        </w:rPr>
        <w:lastRenderedPageBreak/>
        <w:t xml:space="preserve">spiega </w:t>
      </w:r>
      <w:r w:rsidR="00834BD6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in considerazione </w:t>
      </w:r>
      <w:r w:rsidR="006802D7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del fatto </w:t>
      </w:r>
      <w:r w:rsidR="00F605E2" w:rsidRPr="0096471A">
        <w:rPr>
          <w:rFonts w:ascii="Times New Roman" w:hAnsi="Times New Roman" w:cs="Times New Roman"/>
          <w:sz w:val="24"/>
          <w:szCs w:val="24"/>
          <w:lang w:val="it-IT"/>
        </w:rPr>
        <w:t>che tali rendiconti</w:t>
      </w:r>
      <w:r w:rsidR="00834BD6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sono </w:t>
      </w:r>
      <w:r w:rsidR="006802D7" w:rsidRPr="0096471A">
        <w:rPr>
          <w:rFonts w:ascii="Times New Roman" w:hAnsi="Times New Roman" w:cs="Times New Roman"/>
          <w:sz w:val="24"/>
          <w:szCs w:val="24"/>
          <w:lang w:val="it-IT"/>
        </w:rPr>
        <w:t>già in possesso della C</w:t>
      </w:r>
      <w:r w:rsidR="00834BD6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ommissione dal giugno </w:t>
      </w:r>
      <w:r w:rsidR="009F2AC5">
        <w:rPr>
          <w:rFonts w:ascii="Times New Roman" w:hAnsi="Times New Roman" w:cs="Times New Roman"/>
          <w:sz w:val="24"/>
          <w:szCs w:val="24"/>
          <w:lang w:val="it-IT"/>
        </w:rPr>
        <w:t>2014.</w:t>
      </w:r>
    </w:p>
    <w:p w:rsidR="00F605E2" w:rsidRPr="000D5CA0" w:rsidRDefault="009417A2" w:rsidP="00E17FB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96471A">
        <w:rPr>
          <w:rFonts w:ascii="Times New Roman" w:hAnsi="Times New Roman" w:cs="Times New Roman"/>
          <w:sz w:val="24"/>
          <w:szCs w:val="24"/>
          <w:lang w:val="it-IT"/>
        </w:rPr>
        <w:t>Il quarto comma</w:t>
      </w:r>
      <w:r w:rsidR="00125166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483D34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mira </w:t>
      </w:r>
      <w:r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poi </w:t>
      </w:r>
      <w:r w:rsidR="00483D34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a tutelare i </w:t>
      </w:r>
      <w:r w:rsidR="00483D34" w:rsidRPr="0096471A">
        <w:rPr>
          <w:rFonts w:ascii="Times New Roman" w:hAnsi="Times New Roman" w:cs="Times New Roman"/>
          <w:b/>
          <w:sz w:val="24"/>
          <w:szCs w:val="24"/>
          <w:lang w:val="it-IT"/>
        </w:rPr>
        <w:t>diritti dei lavoratori dipendenti dai partiti e dai movimenti politici</w:t>
      </w:r>
      <w:r w:rsidR="00483D34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e </w:t>
      </w:r>
      <w:r w:rsidR="00125166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tende a chiarire il significato dell'art. </w:t>
      </w:r>
      <w:r w:rsidR="00125166" w:rsidRPr="009F2AC5">
        <w:rPr>
          <w:rFonts w:ascii="Times New Roman" w:hAnsi="Times New Roman" w:cs="Times New Roman"/>
          <w:sz w:val="24"/>
          <w:szCs w:val="24"/>
          <w:lang w:val="it-IT"/>
        </w:rPr>
        <w:t>16</w:t>
      </w:r>
      <w:r w:rsidR="00483D34" w:rsidRPr="009F2AC5">
        <w:rPr>
          <w:rFonts w:ascii="Times New Roman" w:hAnsi="Times New Roman" w:cs="Times New Roman"/>
          <w:sz w:val="24"/>
          <w:szCs w:val="24"/>
          <w:lang w:val="it-IT"/>
        </w:rPr>
        <w:t>, primo comma, del decreto-legge 28 dicembre 2013, n. 149, precisando che le disposizioni in materia di trattamento straordinario di integrazione salariale e relativi obblighi contributivi</w:t>
      </w:r>
      <w:r w:rsidR="006802D7" w:rsidRPr="009F2AC5">
        <w:rPr>
          <w:rFonts w:ascii="Times New Roman" w:hAnsi="Times New Roman" w:cs="Times New Roman"/>
          <w:sz w:val="24"/>
          <w:szCs w:val="24"/>
          <w:lang w:val="it-IT"/>
        </w:rPr>
        <w:t>,</w:t>
      </w:r>
      <w:r w:rsidR="00483D34" w:rsidRPr="009F2AC5">
        <w:rPr>
          <w:rFonts w:ascii="Times New Roman" w:hAnsi="Times New Roman" w:cs="Times New Roman"/>
          <w:sz w:val="24"/>
          <w:szCs w:val="24"/>
          <w:lang w:val="it-IT"/>
        </w:rPr>
        <w:t xml:space="preserve"> nonché in materia di contratti di solidarietà</w:t>
      </w:r>
      <w:r w:rsidR="006802D7" w:rsidRPr="009F2AC5">
        <w:rPr>
          <w:rFonts w:ascii="Times New Roman" w:hAnsi="Times New Roman" w:cs="Times New Roman"/>
          <w:sz w:val="24"/>
          <w:szCs w:val="24"/>
          <w:lang w:val="it-IT"/>
        </w:rPr>
        <w:t>,</w:t>
      </w:r>
      <w:r w:rsidR="00483D34" w:rsidRPr="009F2AC5">
        <w:rPr>
          <w:rFonts w:ascii="Times New Roman" w:hAnsi="Times New Roman" w:cs="Times New Roman"/>
          <w:sz w:val="24"/>
          <w:szCs w:val="24"/>
          <w:lang w:val="it-IT"/>
        </w:rPr>
        <w:t xml:space="preserve"> si intendono riferite ai movimenti politici di cui alla legge 3 giugno 1999, n. 157 e alle loro rispettive articolazioni e sezioni territoriali</w:t>
      </w:r>
      <w:r w:rsidR="00D72D3B" w:rsidRPr="009F2AC5">
        <w:rPr>
          <w:rFonts w:ascii="Times New Roman" w:hAnsi="Times New Roman" w:cs="Times New Roman"/>
          <w:sz w:val="24"/>
          <w:szCs w:val="24"/>
          <w:lang w:val="it-IT"/>
        </w:rPr>
        <w:t xml:space="preserve"> (</w:t>
      </w:r>
      <w:r w:rsidR="00483D34" w:rsidRPr="009F2AC5">
        <w:rPr>
          <w:rFonts w:ascii="Times New Roman" w:hAnsi="Times New Roman" w:cs="Times New Roman"/>
          <w:sz w:val="24"/>
          <w:szCs w:val="24"/>
          <w:lang w:val="it-IT"/>
        </w:rPr>
        <w:t>a presci</w:t>
      </w:r>
      <w:r w:rsidR="006802D7" w:rsidRPr="009F2AC5">
        <w:rPr>
          <w:rFonts w:ascii="Times New Roman" w:hAnsi="Times New Roman" w:cs="Times New Roman"/>
          <w:sz w:val="24"/>
          <w:szCs w:val="24"/>
          <w:lang w:val="it-IT"/>
        </w:rPr>
        <w:t>n</w:t>
      </w:r>
      <w:r w:rsidR="00483D34" w:rsidRPr="009F2AC5">
        <w:rPr>
          <w:rFonts w:ascii="Times New Roman" w:hAnsi="Times New Roman" w:cs="Times New Roman"/>
          <w:sz w:val="24"/>
          <w:szCs w:val="24"/>
          <w:lang w:val="it-IT"/>
        </w:rPr>
        <w:t>dere dal numero dei dipendenti</w:t>
      </w:r>
      <w:r w:rsidR="00D72D3B" w:rsidRPr="009F2AC5">
        <w:rPr>
          <w:rFonts w:ascii="Times New Roman" w:hAnsi="Times New Roman" w:cs="Times New Roman"/>
          <w:sz w:val="24"/>
          <w:szCs w:val="24"/>
          <w:lang w:val="it-IT"/>
        </w:rPr>
        <w:t>)</w:t>
      </w:r>
      <w:r w:rsidR="00483D34" w:rsidRPr="009F2AC5">
        <w:rPr>
          <w:rFonts w:ascii="Times New Roman" w:hAnsi="Times New Roman" w:cs="Times New Roman"/>
          <w:sz w:val="24"/>
          <w:szCs w:val="24"/>
          <w:lang w:val="it-IT"/>
        </w:rPr>
        <w:t xml:space="preserve"> incluse quelle dotate di autonomia legale e finanziaria. </w:t>
      </w:r>
      <w:r w:rsidR="00D72D3B" w:rsidRPr="000D5CA0">
        <w:rPr>
          <w:rFonts w:ascii="Times New Roman" w:hAnsi="Times New Roman" w:cs="Times New Roman"/>
          <w:sz w:val="24"/>
          <w:szCs w:val="24"/>
          <w:lang w:val="it-IT"/>
        </w:rPr>
        <w:t>In particolare, l</w:t>
      </w:r>
      <w:r w:rsidR="00483D34" w:rsidRPr="000D5CA0">
        <w:rPr>
          <w:rFonts w:ascii="Times New Roman" w:hAnsi="Times New Roman" w:cs="Times New Roman"/>
          <w:sz w:val="24"/>
          <w:szCs w:val="24"/>
          <w:lang w:val="it-IT"/>
        </w:rPr>
        <w:t xml:space="preserve">e disposizioni </w:t>
      </w:r>
      <w:r w:rsidR="006802D7" w:rsidRPr="000D5CA0">
        <w:rPr>
          <w:rFonts w:ascii="Times New Roman" w:hAnsi="Times New Roman" w:cs="Times New Roman"/>
          <w:sz w:val="24"/>
          <w:szCs w:val="24"/>
          <w:lang w:val="it-IT"/>
        </w:rPr>
        <w:t>in materia di</w:t>
      </w:r>
      <w:r w:rsidR="000D5CA0" w:rsidRPr="000D5CA0">
        <w:rPr>
          <w:rFonts w:ascii="Times New Roman" w:hAnsi="Times New Roman" w:cs="Times New Roman"/>
          <w:sz w:val="24"/>
          <w:szCs w:val="24"/>
          <w:lang w:val="it-IT"/>
        </w:rPr>
        <w:t xml:space="preserve"> cassa integrazione</w:t>
      </w:r>
      <w:r w:rsidR="00D72D3B" w:rsidRPr="000D5CA0">
        <w:rPr>
          <w:rFonts w:ascii="Times New Roman" w:hAnsi="Times New Roman" w:cs="Times New Roman"/>
          <w:sz w:val="24"/>
          <w:szCs w:val="24"/>
          <w:lang w:val="it-IT"/>
        </w:rPr>
        <w:t xml:space="preserve"> dovrebbero trovare applicazione anche nei riguardi dei</w:t>
      </w:r>
      <w:r w:rsidR="006802D7" w:rsidRPr="000D5CA0">
        <w:rPr>
          <w:rFonts w:ascii="Times New Roman" w:hAnsi="Times New Roman" w:cs="Times New Roman"/>
          <w:sz w:val="24"/>
          <w:szCs w:val="24"/>
          <w:lang w:val="it-IT"/>
        </w:rPr>
        <w:t xml:space="preserve"> dipendenti dei partiti e dei movimenti politici non più presenti in Parlamento. </w:t>
      </w:r>
      <w:r w:rsidR="00D72D3B" w:rsidRPr="000D5CA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E17FB8" w:rsidRDefault="00E17FB8" w:rsidP="00E17FB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L</w:t>
      </w:r>
      <w:r w:rsidR="00D72D3B" w:rsidRPr="0096471A">
        <w:rPr>
          <w:rFonts w:ascii="Times New Roman" w:hAnsi="Times New Roman" w:cs="Times New Roman"/>
          <w:sz w:val="24"/>
          <w:szCs w:val="24"/>
          <w:lang w:val="it-IT"/>
        </w:rPr>
        <w:t>'art</w:t>
      </w:r>
      <w:r>
        <w:rPr>
          <w:rFonts w:ascii="Times New Roman" w:hAnsi="Times New Roman" w:cs="Times New Roman"/>
          <w:sz w:val="24"/>
          <w:szCs w:val="24"/>
          <w:lang w:val="it-IT"/>
        </w:rPr>
        <w:t>icolo</w:t>
      </w:r>
      <w:r w:rsidR="00D72D3B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2 contiene la cla</w:t>
      </w:r>
      <w:r w:rsidR="00F605E2" w:rsidRPr="0096471A">
        <w:rPr>
          <w:rFonts w:ascii="Times New Roman" w:hAnsi="Times New Roman" w:cs="Times New Roman"/>
          <w:sz w:val="24"/>
          <w:szCs w:val="24"/>
          <w:lang w:val="it-IT"/>
        </w:rPr>
        <w:t>usola di invarianza finanziaria</w:t>
      </w:r>
      <w:r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:rsidR="006736CD" w:rsidRPr="0096471A" w:rsidRDefault="00E17FB8" w:rsidP="00E17FB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L</w:t>
      </w:r>
      <w:r w:rsidR="00D72D3B" w:rsidRPr="0096471A">
        <w:rPr>
          <w:rFonts w:ascii="Times New Roman" w:hAnsi="Times New Roman" w:cs="Times New Roman"/>
          <w:sz w:val="24"/>
          <w:szCs w:val="24"/>
          <w:lang w:val="it-IT"/>
        </w:rPr>
        <w:t>'art</w:t>
      </w:r>
      <w:r>
        <w:rPr>
          <w:rFonts w:ascii="Times New Roman" w:hAnsi="Times New Roman" w:cs="Times New Roman"/>
          <w:sz w:val="24"/>
          <w:szCs w:val="24"/>
          <w:lang w:val="it-IT"/>
        </w:rPr>
        <w:t>icolo</w:t>
      </w:r>
      <w:r w:rsidR="00D72D3B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 3 </w:t>
      </w:r>
      <w:r w:rsidR="00F605E2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disciplina </w:t>
      </w:r>
      <w:r w:rsidR="00D72D3B" w:rsidRPr="0096471A">
        <w:rPr>
          <w:rFonts w:ascii="Times New Roman" w:hAnsi="Times New Roman" w:cs="Times New Roman"/>
          <w:sz w:val="24"/>
          <w:szCs w:val="24"/>
          <w:lang w:val="it-IT"/>
        </w:rPr>
        <w:t xml:space="preserve">l'entrata in vigore della legge, prevista per il giorno successivo a quello della sua pubblicazione nella Gazzetta Ufficiale. </w:t>
      </w:r>
    </w:p>
    <w:sectPr w:rsidR="006736CD" w:rsidRPr="0096471A" w:rsidSect="00E17F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FB8" w:rsidRDefault="00E17FB8" w:rsidP="00E17FB8">
      <w:pPr>
        <w:spacing w:after="0" w:line="240" w:lineRule="auto"/>
      </w:pPr>
      <w:r>
        <w:separator/>
      </w:r>
    </w:p>
  </w:endnote>
  <w:endnote w:type="continuationSeparator" w:id="0">
    <w:p w:rsidR="00E17FB8" w:rsidRDefault="00E17FB8" w:rsidP="00E17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LT Std">
    <w:altName w:val="Times LT St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FB8" w:rsidRDefault="00E17FB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59475"/>
      <w:docPartObj>
        <w:docPartGallery w:val="Page Numbers (Bottom of Page)"/>
        <w:docPartUnique/>
      </w:docPartObj>
    </w:sdtPr>
    <w:sdtContent>
      <w:p w:rsidR="00E17FB8" w:rsidRDefault="00325476">
        <w:pPr>
          <w:pStyle w:val="Pidipagina"/>
          <w:jc w:val="center"/>
        </w:pPr>
        <w:fldSimple w:instr=" PAGE   \* MERGEFORMAT ">
          <w:r w:rsidR="004346DD">
            <w:rPr>
              <w:noProof/>
            </w:rPr>
            <w:t>2</w:t>
          </w:r>
        </w:fldSimple>
      </w:p>
    </w:sdtContent>
  </w:sdt>
  <w:p w:rsidR="00E17FB8" w:rsidRDefault="00E17FB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FB8" w:rsidRDefault="00E17FB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FB8" w:rsidRDefault="00E17FB8" w:rsidP="00E17FB8">
      <w:pPr>
        <w:spacing w:after="0" w:line="240" w:lineRule="auto"/>
      </w:pPr>
      <w:r>
        <w:separator/>
      </w:r>
    </w:p>
  </w:footnote>
  <w:footnote w:type="continuationSeparator" w:id="0">
    <w:p w:rsidR="00E17FB8" w:rsidRDefault="00E17FB8" w:rsidP="00E17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FB8" w:rsidRDefault="00E17FB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FB8" w:rsidRDefault="00E17FB8" w:rsidP="00656FEF">
    <w:pPr>
      <w:tabs>
        <w:tab w:val="left" w:pos="2610"/>
        <w:tab w:val="left" w:pos="3735"/>
      </w:tabs>
      <w:spacing w:after="120"/>
      <w:ind w:left="113"/>
    </w:pPr>
    <w:r w:rsidRPr="009634C1">
      <w:rPr>
        <w:rFonts w:ascii="Arial" w:hAnsi="Arial" w:cs="Arial"/>
        <w:noProof/>
        <w:color w:val="333333"/>
        <w:sz w:val="21"/>
        <w:szCs w:val="21"/>
        <w:lang w:val="it-IT" w:eastAsia="it-IT" w:bidi="ar-SA"/>
      </w:rPr>
      <w:drawing>
        <wp:inline distT="0" distB="0" distL="0" distR="0">
          <wp:extent cx="1714500" cy="381000"/>
          <wp:effectExtent l="19050" t="0" r="0" b="0"/>
          <wp:docPr id="6" name="Immagine 1" descr="C:\Users\DI GENNARO\AppData\Local\Temp\notesC25B30\logo pd senato piccol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I GENNARO\AppData\Local\Temp\notesC25B30\logo pd senato piccol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178" cy="3849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</w:p>
  <w:p w:rsidR="00E17FB8" w:rsidRPr="00E17FB8" w:rsidRDefault="00E17FB8" w:rsidP="00E17FB8">
    <w:pPr>
      <w:tabs>
        <w:tab w:val="left" w:pos="851"/>
      </w:tabs>
      <w:rPr>
        <w:rFonts w:ascii="Times New Roman" w:hAnsi="Times New Roman" w:cs="Times New Roman"/>
        <w:b/>
        <w:i/>
      </w:rPr>
    </w:pPr>
    <w:r>
      <w:rPr>
        <w:b/>
        <w:sz w:val="16"/>
        <w:szCs w:val="16"/>
      </w:rPr>
      <w:t xml:space="preserve">   </w:t>
    </w:r>
    <w:r>
      <w:rPr>
        <w:b/>
        <w:sz w:val="16"/>
        <w:szCs w:val="16"/>
      </w:rPr>
      <w:tab/>
    </w:r>
    <w:r w:rsidRPr="00E17FB8">
      <w:rPr>
        <w:rFonts w:ascii="Times New Roman" w:hAnsi="Times New Roman" w:cs="Times New Roman"/>
        <w:b/>
        <w:i/>
      </w:rPr>
      <w:t>Ufficio legislativo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FB8" w:rsidRDefault="00E17FB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0501"/>
    <w:rsid w:val="000102F5"/>
    <w:rsid w:val="000D5CA0"/>
    <w:rsid w:val="00125166"/>
    <w:rsid w:val="00281284"/>
    <w:rsid w:val="002914C5"/>
    <w:rsid w:val="00312489"/>
    <w:rsid w:val="00325476"/>
    <w:rsid w:val="004346DD"/>
    <w:rsid w:val="00483D34"/>
    <w:rsid w:val="005A1C6F"/>
    <w:rsid w:val="00633118"/>
    <w:rsid w:val="006736CD"/>
    <w:rsid w:val="006802D7"/>
    <w:rsid w:val="00690501"/>
    <w:rsid w:val="007001F5"/>
    <w:rsid w:val="00722A0F"/>
    <w:rsid w:val="007643A6"/>
    <w:rsid w:val="007A1842"/>
    <w:rsid w:val="007D29AB"/>
    <w:rsid w:val="007D55E4"/>
    <w:rsid w:val="00834BD6"/>
    <w:rsid w:val="008A2B6A"/>
    <w:rsid w:val="009417A2"/>
    <w:rsid w:val="00951F50"/>
    <w:rsid w:val="0096471A"/>
    <w:rsid w:val="009875A4"/>
    <w:rsid w:val="009F2AC5"/>
    <w:rsid w:val="00A20DD5"/>
    <w:rsid w:val="00C56C83"/>
    <w:rsid w:val="00CD503C"/>
    <w:rsid w:val="00CF48FD"/>
    <w:rsid w:val="00D33455"/>
    <w:rsid w:val="00D72D3B"/>
    <w:rsid w:val="00DA7739"/>
    <w:rsid w:val="00DB1E79"/>
    <w:rsid w:val="00E17FB8"/>
    <w:rsid w:val="00EA6F9B"/>
    <w:rsid w:val="00EC451A"/>
    <w:rsid w:val="00F204CC"/>
    <w:rsid w:val="00F60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33455"/>
  </w:style>
  <w:style w:type="paragraph" w:styleId="Titolo1">
    <w:name w:val="heading 1"/>
    <w:basedOn w:val="Normale"/>
    <w:next w:val="Normale"/>
    <w:link w:val="Titolo1Carattere"/>
    <w:uiPriority w:val="9"/>
    <w:qFormat/>
    <w:rsid w:val="00D3345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D33455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D3345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D33455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D33455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D33455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D33455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D33455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D33455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33455"/>
    <w:rPr>
      <w:smallCaps/>
      <w:spacing w:val="5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33455"/>
    <w:rPr>
      <w:smallCaps/>
      <w:spacing w:val="5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33455"/>
    <w:rPr>
      <w:smallCaps/>
      <w:spacing w:val="5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33455"/>
    <w:rPr>
      <w:smallCaps/>
      <w:spacing w:val="10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rsid w:val="00D33455"/>
    <w:rPr>
      <w:smallCaps/>
      <w:color w:val="943634" w:themeColor="accent2" w:themeShade="BF"/>
      <w:spacing w:val="10"/>
      <w:sz w:val="22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rsid w:val="00D33455"/>
    <w:rPr>
      <w:smallCaps/>
      <w:color w:val="C0504D" w:themeColor="accent2"/>
      <w:spacing w:val="5"/>
      <w:sz w:val="22"/>
    </w:rPr>
  </w:style>
  <w:style w:type="character" w:customStyle="1" w:styleId="Titolo7Carattere">
    <w:name w:val="Titolo 7 Carattere"/>
    <w:basedOn w:val="Carpredefinitoparagrafo"/>
    <w:link w:val="Titolo7"/>
    <w:uiPriority w:val="9"/>
    <w:rsid w:val="00D33455"/>
    <w:rPr>
      <w:b/>
      <w:smallCaps/>
      <w:color w:val="C0504D" w:themeColor="accent2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rsid w:val="00D33455"/>
    <w:rPr>
      <w:b/>
      <w:i/>
      <w:smallCaps/>
      <w:color w:val="943634" w:themeColor="accent2" w:themeShade="BF"/>
    </w:rPr>
  </w:style>
  <w:style w:type="character" w:customStyle="1" w:styleId="Titolo9Carattere">
    <w:name w:val="Titolo 9 Carattere"/>
    <w:basedOn w:val="Carpredefinitoparagrafo"/>
    <w:link w:val="Titolo9"/>
    <w:uiPriority w:val="9"/>
    <w:rsid w:val="00D33455"/>
    <w:rPr>
      <w:b/>
      <w:i/>
      <w:smallCaps/>
      <w:color w:val="622423" w:themeColor="accent2" w:themeShade="7F"/>
    </w:rPr>
  </w:style>
  <w:style w:type="paragraph" w:styleId="Titolo">
    <w:name w:val="Title"/>
    <w:basedOn w:val="Normale"/>
    <w:next w:val="Normale"/>
    <w:link w:val="TitoloCarattere"/>
    <w:uiPriority w:val="10"/>
    <w:qFormat/>
    <w:rsid w:val="00D33455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D33455"/>
    <w:rPr>
      <w:smallCaps/>
      <w:sz w:val="48"/>
      <w:szCs w:val="48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D33455"/>
    <w:rPr>
      <w:b/>
      <w:bCs/>
      <w:caps/>
      <w:sz w:val="16"/>
      <w:szCs w:val="18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33455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33455"/>
    <w:rPr>
      <w:rFonts w:asciiTheme="majorHAnsi" w:eastAsiaTheme="majorEastAsia" w:hAnsiTheme="majorHAnsi" w:cstheme="majorBidi"/>
      <w:szCs w:val="22"/>
    </w:rPr>
  </w:style>
  <w:style w:type="character" w:styleId="Enfasigrassetto">
    <w:name w:val="Strong"/>
    <w:uiPriority w:val="22"/>
    <w:qFormat/>
    <w:rsid w:val="00D33455"/>
    <w:rPr>
      <w:b/>
      <w:color w:val="C0504D" w:themeColor="accent2"/>
    </w:rPr>
  </w:style>
  <w:style w:type="character" w:styleId="Enfasicorsivo">
    <w:name w:val="Emphasis"/>
    <w:uiPriority w:val="20"/>
    <w:qFormat/>
    <w:rsid w:val="00D33455"/>
    <w:rPr>
      <w:b/>
      <w:i/>
      <w:spacing w:val="10"/>
    </w:rPr>
  </w:style>
  <w:style w:type="paragraph" w:styleId="Nessunaspaziatura">
    <w:name w:val="No Spacing"/>
    <w:basedOn w:val="Normale"/>
    <w:link w:val="NessunaspaziaturaCarattere"/>
    <w:uiPriority w:val="1"/>
    <w:qFormat/>
    <w:rsid w:val="00D33455"/>
    <w:pPr>
      <w:spacing w:after="0" w:line="240" w:lineRule="auto"/>
    </w:p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D33455"/>
  </w:style>
  <w:style w:type="paragraph" w:styleId="Paragrafoelenco">
    <w:name w:val="List Paragraph"/>
    <w:basedOn w:val="Normale"/>
    <w:uiPriority w:val="34"/>
    <w:qFormat/>
    <w:rsid w:val="00D33455"/>
    <w:pPr>
      <w:ind w:left="720"/>
      <w:contextualSpacing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D33455"/>
    <w:rPr>
      <w:i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33455"/>
    <w:rPr>
      <w:i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33455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33455"/>
    <w:rPr>
      <w:b/>
      <w:i/>
      <w:color w:val="FFFFFF" w:themeColor="background1"/>
      <w:shd w:val="clear" w:color="auto" w:fill="C0504D" w:themeFill="accent2"/>
    </w:rPr>
  </w:style>
  <w:style w:type="character" w:styleId="Enfasidelicata">
    <w:name w:val="Subtle Emphasis"/>
    <w:uiPriority w:val="19"/>
    <w:qFormat/>
    <w:rsid w:val="00D33455"/>
    <w:rPr>
      <w:i/>
    </w:rPr>
  </w:style>
  <w:style w:type="character" w:styleId="Enfasiintensa">
    <w:name w:val="Intense Emphasis"/>
    <w:uiPriority w:val="21"/>
    <w:qFormat/>
    <w:rsid w:val="00D33455"/>
    <w:rPr>
      <w:b/>
      <w:i/>
      <w:color w:val="C0504D" w:themeColor="accent2"/>
      <w:spacing w:val="10"/>
    </w:rPr>
  </w:style>
  <w:style w:type="character" w:styleId="Riferimentodelicato">
    <w:name w:val="Subtle Reference"/>
    <w:uiPriority w:val="31"/>
    <w:qFormat/>
    <w:rsid w:val="00D33455"/>
    <w:rPr>
      <w:b/>
    </w:rPr>
  </w:style>
  <w:style w:type="character" w:styleId="Riferimentointenso">
    <w:name w:val="Intense Reference"/>
    <w:uiPriority w:val="32"/>
    <w:qFormat/>
    <w:rsid w:val="00D33455"/>
    <w:rPr>
      <w:b/>
      <w:bCs/>
      <w:smallCaps/>
      <w:spacing w:val="5"/>
      <w:sz w:val="22"/>
      <w:szCs w:val="22"/>
      <w:u w:val="single"/>
    </w:rPr>
  </w:style>
  <w:style w:type="character" w:styleId="Titolodellibro">
    <w:name w:val="Book Title"/>
    <w:uiPriority w:val="33"/>
    <w:qFormat/>
    <w:rsid w:val="00D3345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D33455"/>
    <w:pPr>
      <w:outlineLvl w:val="9"/>
    </w:pPr>
  </w:style>
  <w:style w:type="paragraph" w:styleId="PreformattatoHTML">
    <w:name w:val="HTML Preformatted"/>
    <w:basedOn w:val="Normale"/>
    <w:link w:val="PreformattatoHTMLCarattere"/>
    <w:uiPriority w:val="99"/>
    <w:unhideWhenUsed/>
    <w:rsid w:val="006331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Courier New"/>
      <w:lang w:val="it-IT" w:eastAsia="it-IT" w:bidi="ar-SA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633118"/>
    <w:rPr>
      <w:rFonts w:ascii="Courier New" w:eastAsia="Times New Roman" w:hAnsi="Courier New" w:cs="Courier New"/>
      <w:lang w:val="it-IT" w:eastAsia="it-IT" w:bidi="ar-SA"/>
    </w:rPr>
  </w:style>
  <w:style w:type="paragraph" w:customStyle="1" w:styleId="Default">
    <w:name w:val="Default"/>
    <w:rsid w:val="00633118"/>
    <w:pPr>
      <w:autoSpaceDE w:val="0"/>
      <w:autoSpaceDN w:val="0"/>
      <w:adjustRightInd w:val="0"/>
      <w:spacing w:after="0" w:line="240" w:lineRule="auto"/>
      <w:jc w:val="left"/>
    </w:pPr>
    <w:rPr>
      <w:rFonts w:ascii="Times LT Std" w:hAnsi="Times LT Std" w:cs="Times LT Std"/>
      <w:color w:val="000000"/>
      <w:sz w:val="24"/>
      <w:szCs w:val="24"/>
      <w:lang w:val="it-IT" w:bidi="ar-SA"/>
    </w:rPr>
  </w:style>
  <w:style w:type="paragraph" w:styleId="NormaleWeb">
    <w:name w:val="Normal (Web)"/>
    <w:basedOn w:val="Normale"/>
    <w:uiPriority w:val="99"/>
    <w:unhideWhenUsed/>
    <w:rsid w:val="00834BD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it-IT" w:eastAsia="it-IT" w:bidi="ar-SA"/>
    </w:rPr>
  </w:style>
  <w:style w:type="character" w:customStyle="1" w:styleId="titolo30">
    <w:name w:val="titolo3"/>
    <w:basedOn w:val="Carpredefinitoparagrafo"/>
    <w:rsid w:val="00D72D3B"/>
  </w:style>
  <w:style w:type="table" w:styleId="Grigliatabella">
    <w:name w:val="Table Grid"/>
    <w:basedOn w:val="Tabellanormale"/>
    <w:uiPriority w:val="59"/>
    <w:rsid w:val="00E17FB8"/>
    <w:pPr>
      <w:spacing w:after="0" w:line="240" w:lineRule="auto"/>
      <w:jc w:val="left"/>
    </w:pPr>
    <w:rPr>
      <w:sz w:val="22"/>
      <w:szCs w:val="22"/>
      <w:u w:color="000000"/>
      <w:lang w:val="it-IT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17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17FB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nhideWhenUsed/>
    <w:rsid w:val="00E17F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E17FB8"/>
  </w:style>
  <w:style w:type="paragraph" w:styleId="Pidipagina">
    <w:name w:val="footer"/>
    <w:basedOn w:val="Normale"/>
    <w:link w:val="PidipaginaCarattere"/>
    <w:unhideWhenUsed/>
    <w:rsid w:val="00E17F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E17F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7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78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3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65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4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6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99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Senato della Repubblica</Company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4469lucidi</dc:creator>
  <cp:lastModifiedBy>Silvia Di Gennaro</cp:lastModifiedBy>
  <cp:revision>6</cp:revision>
  <cp:lastPrinted>2015-10-14T12:32:00Z</cp:lastPrinted>
  <dcterms:created xsi:type="dcterms:W3CDTF">2015-10-14T12:50:00Z</dcterms:created>
  <dcterms:modified xsi:type="dcterms:W3CDTF">2015-10-15T08:12:00Z</dcterms:modified>
</cp:coreProperties>
</file>